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A55" w:rsidRDefault="00311A55">
      <w:pPr>
        <w:pStyle w:val="PaperTitle"/>
      </w:pPr>
      <w:r>
        <w:t xml:space="preserve">Guidelines for Papers for the </w:t>
      </w:r>
    </w:p>
    <w:p w:rsidR="00311A55" w:rsidRDefault="00311A55">
      <w:pPr>
        <w:pStyle w:val="PaperTitle"/>
      </w:pPr>
      <w:r>
        <w:t>ORSNZ Conference</w:t>
      </w:r>
    </w:p>
    <w:p w:rsidR="00311A55" w:rsidRDefault="00311A55">
      <w:pPr>
        <w:jc w:val="center"/>
      </w:pPr>
    </w:p>
    <w:p w:rsidR="00311A55" w:rsidRDefault="00311A55">
      <w:pPr>
        <w:jc w:val="center"/>
      </w:pPr>
      <w:r>
        <w:t>Joe J. Bloggs</w:t>
      </w:r>
    </w:p>
    <w:p w:rsidR="00311A55" w:rsidRDefault="00311A55">
      <w:pPr>
        <w:jc w:val="center"/>
      </w:pPr>
      <w:r>
        <w:t>Department of Operational Research</w:t>
      </w:r>
    </w:p>
    <w:p w:rsidR="00311A55" w:rsidRDefault="00311A55">
      <w:pPr>
        <w:jc w:val="center"/>
      </w:pPr>
      <w:r>
        <w:t>University of Anywhere</w:t>
      </w:r>
      <w:r w:rsidR="00F77EBB">
        <w:t xml:space="preserve">, </w:t>
      </w:r>
      <w:r>
        <w:t>New Zealand</w:t>
      </w:r>
    </w:p>
    <w:p w:rsidR="00311A55" w:rsidRDefault="00311A55">
      <w:pPr>
        <w:jc w:val="center"/>
      </w:pPr>
      <w:hyperlink r:id="rId7" w:history="1">
        <w:r>
          <w:rPr>
            <w:rStyle w:val="Hyperlink"/>
          </w:rPr>
          <w:t>j.bloggs@anywhere.ac.nz</w:t>
        </w:r>
      </w:hyperlink>
    </w:p>
    <w:p w:rsidR="00311A55" w:rsidRDefault="00311A55">
      <w:pPr>
        <w:jc w:val="center"/>
      </w:pPr>
    </w:p>
    <w:p w:rsidR="00311A55" w:rsidRDefault="00311A55">
      <w:pPr>
        <w:pStyle w:val="Heading1"/>
        <w:numPr>
          <w:ilvl w:val="0"/>
          <w:numId w:val="0"/>
        </w:numPr>
        <w:pBdr>
          <w:top w:val="single" w:sz="4" w:space="1" w:color="auto"/>
        </w:pBdr>
        <w:jc w:val="center"/>
      </w:pPr>
      <w:r>
        <w:t>Abstract</w:t>
      </w:r>
    </w:p>
    <w:p w:rsidR="00311A55" w:rsidRDefault="00311A55" w:rsidP="009D0786">
      <w:pPr>
        <w:pStyle w:val="NormalMargin"/>
      </w:pPr>
      <w:r>
        <w:t>This document provides style guidelines for papers submitted to the annual ORSNZ Conference.</w:t>
      </w:r>
    </w:p>
    <w:p w:rsidR="009D0786" w:rsidRDefault="00311A55" w:rsidP="009D0786">
      <w:r>
        <w:t>Guidelines for ORSNZ Conference papers include fonts and margins, section headings and numbering, diagrams, tables, and images, math models, submission format, and references.</w:t>
      </w:r>
    </w:p>
    <w:p w:rsidR="009D0786" w:rsidRDefault="00BD5A7B" w:rsidP="009D0786">
      <w:r>
        <w:t>Word users can use this document as the basis for their article. Those using other word processers should follow these guidelines as closely as possible.</w:t>
      </w:r>
    </w:p>
    <w:p w:rsidR="00311A55" w:rsidRDefault="00311A55" w:rsidP="009D0786">
      <w:r>
        <w:t xml:space="preserve">Place a solid line above and below the abstract, with the word “Abstract” centred in 14-point font bold. The abstract body should be even-justified in 12-point font, using a line spacing of </w:t>
      </w:r>
      <w:r w:rsidR="009D0786">
        <w:t xml:space="preserve">“at least” </w:t>
      </w:r>
      <w:r>
        <w:t>15 points. If you cannot get 15 point line spacing, please use single spacing.</w:t>
      </w:r>
    </w:p>
    <w:p w:rsidR="00882A62" w:rsidRDefault="00882A62" w:rsidP="009D0786">
      <w:pPr>
        <w:pBdr>
          <w:bottom w:val="single" w:sz="4" w:space="6" w:color="auto"/>
        </w:pBdr>
      </w:pPr>
    </w:p>
    <w:p w:rsidR="00311A55" w:rsidRDefault="00882A62" w:rsidP="009D0786">
      <w:pPr>
        <w:pBdr>
          <w:bottom w:val="single" w:sz="4" w:space="6" w:color="auto"/>
        </w:pBdr>
        <w:rPr>
          <w:sz w:val="12"/>
        </w:rPr>
      </w:pPr>
      <w:r w:rsidRPr="00882A62">
        <w:rPr>
          <w:b/>
        </w:rPr>
        <w:t>Key words:</w:t>
      </w:r>
      <w:r w:rsidRPr="00882A62">
        <w:t xml:space="preserve"> A</w:t>
      </w:r>
      <w:r>
        <w:t>n optional</w:t>
      </w:r>
      <w:r w:rsidRPr="00882A62">
        <w:t xml:space="preserve"> </w:t>
      </w:r>
      <w:r>
        <w:t>comma separated list of l</w:t>
      </w:r>
      <w:r w:rsidRPr="00882A62">
        <w:t>ist</w:t>
      </w:r>
      <w:r>
        <w:t xml:space="preserve"> of key words</w:t>
      </w:r>
      <w:r w:rsidRPr="00882A62">
        <w:t xml:space="preserve"> </w:t>
      </w:r>
      <w:r>
        <w:t>formatted as per the abstract body can be included. This is to be preceeded by the words “Key words:” in bold.</w:t>
      </w:r>
    </w:p>
    <w:p w:rsidR="00311A55" w:rsidRDefault="00311A55">
      <w:pPr>
        <w:pStyle w:val="Heading1"/>
      </w:pPr>
      <w:r>
        <w:t>Layout Guidelines</w:t>
      </w:r>
    </w:p>
    <w:p w:rsidR="00311A55" w:rsidRDefault="00311A55">
      <w:pPr>
        <w:pStyle w:val="NormalMargin"/>
      </w:pPr>
      <w:r>
        <w:t>Layout guidelines for ORSNZ Conference papers include fonts and margins, section headings and numbering.</w:t>
      </w:r>
    </w:p>
    <w:p w:rsidR="00311A55" w:rsidRDefault="00311A55">
      <w:pPr>
        <w:pStyle w:val="Heading2"/>
      </w:pPr>
      <w:r>
        <w:t>Fonts and margins</w:t>
      </w:r>
    </w:p>
    <w:p w:rsidR="00311A55" w:rsidRDefault="00311A55" w:rsidP="009D0786">
      <w:pPr>
        <w:pStyle w:val="NormalMargin"/>
      </w:pPr>
      <w:r>
        <w:t xml:space="preserve">All fonts (including fonts in graphics, where possible) should be Times Roman or Computer Modern. Avoid all capitals, which slow reader comprehension. Do </w:t>
      </w:r>
      <w:r>
        <w:rPr>
          <w:i/>
        </w:rPr>
        <w:t>not</w:t>
      </w:r>
      <w:r>
        <w:t xml:space="preserve"> use underlining. Use italics if the text requires emphasis.</w:t>
      </w:r>
    </w:p>
    <w:p w:rsidR="00311A55" w:rsidRDefault="00311A55">
      <w:r>
        <w:t>Centre the title in 24-point font. Centre author names and contact details, in 12-point font, and separate from the title by one line.</w:t>
      </w:r>
    </w:p>
    <w:p w:rsidR="00311A55" w:rsidRDefault="00311A55">
      <w:r>
        <w:t xml:space="preserve">Format your file for A4 paper with a 2cm margin at the top and bottom, and 3 cm margins at left and right (to leave room for binding). Do </w:t>
      </w:r>
      <w:r>
        <w:rPr>
          <w:iCs/>
        </w:rPr>
        <w:t xml:space="preserve">not </w:t>
      </w:r>
      <w:r>
        <w:t xml:space="preserve">number the pages; the editor will number the entire Proceedings. Papers (including abstracts, tables, figures and references) are restricted to no more than 10 pages </w:t>
      </w:r>
      <w:r w:rsidR="00F77EBB">
        <w:t>(not counting</w:t>
      </w:r>
      <w:bookmarkStart w:id="0" w:name="_GoBack"/>
      <w:bookmarkEnd w:id="0"/>
      <w:r w:rsidR="00F77EBB">
        <w:t xml:space="preserve"> references)</w:t>
      </w:r>
      <w:r>
        <w:t>.</w:t>
      </w:r>
    </w:p>
    <w:p w:rsidR="00311A55" w:rsidRDefault="00311A55">
      <w:pPr>
        <w:pStyle w:val="Heading2"/>
      </w:pPr>
      <w:r>
        <w:t>Section headings and numbering</w:t>
      </w:r>
    </w:p>
    <w:p w:rsidR="00311A55" w:rsidRDefault="00311A55">
      <w:pPr>
        <w:pStyle w:val="NormalMargin"/>
      </w:pPr>
      <w:r>
        <w:t>Each section should be named and numbered in the “1.1” format. Major section titles should be 14-point bold. There should be a 12-point space above and a 6-point space below each section title (or 1 line above and below if you can't achieve this).</w:t>
      </w:r>
    </w:p>
    <w:p w:rsidR="00311A55" w:rsidRDefault="00311A55">
      <w:r>
        <w:lastRenderedPageBreak/>
        <w:t>Sub-section titles should be 12-point bold. There should be a 6-point space above and a 6-point space below each sub-section title (or 1 line above and below if you can't achieve this).</w:t>
      </w:r>
    </w:p>
    <w:p w:rsidR="00311A55" w:rsidRDefault="00311A55">
      <w:pPr>
        <w:pStyle w:val="BodyTextIndent"/>
      </w:pPr>
      <w:r>
        <w:t>The body text should be 12-point font on a line of 15 points, left justified. (If you cannot get 15 point spacing, use single line spacing.) Indent paragraphs by 6mm. Do not have extra space above or below the paragraph. Do not indent the first paragraph after a heading.</w:t>
      </w:r>
    </w:p>
    <w:p w:rsidR="00311A55" w:rsidRDefault="00311A55">
      <w:r>
        <w:t xml:space="preserve">Avoid footnotes. </w:t>
      </w:r>
    </w:p>
    <w:p w:rsidR="00311A55" w:rsidRDefault="00311A55">
      <w:pPr>
        <w:pStyle w:val="Heading1"/>
      </w:pPr>
      <w:r>
        <w:t>Diagrams, tables, and images</w:t>
      </w:r>
    </w:p>
    <w:p w:rsidR="00311A55" w:rsidRDefault="00311A55">
      <w:pPr>
        <w:pStyle w:val="Heading2"/>
      </w:pPr>
      <w:r>
        <w:t>Diagrams and tables</w:t>
      </w:r>
    </w:p>
    <w:p w:rsidR="00311A55" w:rsidRDefault="00311A55" w:rsidP="005531C9">
      <w:pPr>
        <w:pStyle w:val="NormalMargin"/>
      </w:pPr>
      <w:r>
        <w:t>Diagrams and tables should be centred, as near to the first point of reference as reasonably possible, as illustrated by Figures 1 and 2. As much as possible, text in tables and graphics should be 12 point Times Roman or Computer Modern. Captions should be in 12-point font, cent</w:t>
      </w:r>
      <w:r w:rsidR="00BD5A7B">
        <w:t>red, and consecutively numbered and, below the figures and above the tables.</w:t>
      </w:r>
    </w:p>
    <w:p w:rsidR="00311A55" w:rsidRDefault="00311A55">
      <w:r>
        <w:t xml:space="preserve">If you use Excel charts you can improve Excel’s default charts by removing the frame, the grid, and the grey background. Before you paste an Excel chart into Word, while still in Excel, set the chart’s font to Times New Roman, Regular (not bold), 12 points, with Autoscale turned off. Make all text in the graph read from left to right (orientation of zero degrees), including the label on the </w:t>
      </w:r>
      <w:r>
        <w:rPr>
          <w:i/>
        </w:rPr>
        <w:t>y</w:t>
      </w:r>
      <w:r>
        <w:t>-axis.</w:t>
      </w:r>
    </w:p>
    <w:p w:rsidR="00311A55" w:rsidRDefault="00311A55"/>
    <w:p w:rsidR="00311A55" w:rsidRDefault="005531C9">
      <w:pPr>
        <w:pStyle w:val="Author"/>
        <w:keepNext/>
        <w:spacing w:line="240" w:lineRule="atLeast"/>
        <w:ind w:firstLine="0"/>
      </w:pPr>
      <w:r>
        <w:rPr>
          <w:noProof/>
          <w:lang w:eastAsia="en-NZ"/>
        </w:rPr>
        <w:drawing>
          <wp:inline distT="0" distB="0" distL="0" distR="0">
            <wp:extent cx="5400675" cy="2105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105025"/>
                    </a:xfrm>
                    <a:prstGeom prst="rect">
                      <a:avLst/>
                    </a:prstGeom>
                    <a:noFill/>
                    <a:ln>
                      <a:noFill/>
                    </a:ln>
                  </pic:spPr>
                </pic:pic>
              </a:graphicData>
            </a:graphic>
          </wp:inline>
        </w:drawing>
      </w:r>
    </w:p>
    <w:p w:rsidR="00311A55" w:rsidRDefault="00311A55">
      <w:pPr>
        <w:pStyle w:val="Author"/>
        <w:spacing w:line="240" w:lineRule="atLeast"/>
        <w:ind w:firstLine="0"/>
      </w:pPr>
      <w:r>
        <w:t>Figure 1. This is horrible.</w:t>
      </w:r>
    </w:p>
    <w:p w:rsidR="00311A55" w:rsidRDefault="005531C9">
      <w:pPr>
        <w:pStyle w:val="Author"/>
        <w:keepNext/>
        <w:spacing w:line="240" w:lineRule="atLeast"/>
        <w:ind w:firstLine="0"/>
      </w:pPr>
      <w:r>
        <w:rPr>
          <w:noProof/>
          <w:lang w:eastAsia="en-NZ"/>
        </w:rPr>
        <w:lastRenderedPageBreak/>
        <w:drawing>
          <wp:inline distT="0" distB="0" distL="0" distR="0">
            <wp:extent cx="5400675"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971800"/>
                    </a:xfrm>
                    <a:prstGeom prst="rect">
                      <a:avLst/>
                    </a:prstGeom>
                    <a:noFill/>
                    <a:ln>
                      <a:noFill/>
                    </a:ln>
                  </pic:spPr>
                </pic:pic>
              </a:graphicData>
            </a:graphic>
          </wp:inline>
        </w:drawing>
      </w:r>
    </w:p>
    <w:p w:rsidR="00311A55" w:rsidRDefault="00311A55">
      <w:pPr>
        <w:pStyle w:val="BodyText2"/>
      </w:pPr>
      <w:r>
        <w:t>Figure 2. This is the same data as the previous graph, but it is much more. Note that the font style and size matches the article’s text.</w:t>
      </w:r>
    </w:p>
    <w:p w:rsidR="00311A55" w:rsidRDefault="00311A55"/>
    <w:p w:rsidR="00311A55" w:rsidRDefault="00311A55">
      <w:r>
        <w:t xml:space="preserve">Tables are almost always improved by removing the </w:t>
      </w:r>
      <w:r w:rsidR="00E41C61">
        <w:t>vertical lines</w:t>
      </w:r>
      <w:r>
        <w:t>.</w:t>
      </w:r>
      <w:r w:rsidR="00E41C61">
        <w:t xml:space="preserve"> Right-justify numbers in tables</w:t>
      </w:r>
      <w:r w:rsidR="005531C9">
        <w:t xml:space="preserve"> and ensure they have the same number of decimal places in each column</w:t>
      </w:r>
      <w:r w:rsidR="00E41C61">
        <w:t>.</w:t>
      </w:r>
    </w:p>
    <w:p w:rsidR="00311A55" w:rsidRDefault="00311A55">
      <w:pPr>
        <w:pStyle w:val="Heading2"/>
      </w:pPr>
      <w:r>
        <w:t>Images</w:t>
      </w:r>
    </w:p>
    <w:p w:rsidR="00311A55" w:rsidRDefault="00311A55">
      <w:pPr>
        <w:ind w:firstLine="0"/>
      </w:pPr>
      <w:r>
        <w:t xml:space="preserve">Please </w:t>
      </w:r>
      <w:r w:rsidR="005531C9">
        <w:t>ensure that images are high resolution for best possible quality.</w:t>
      </w:r>
    </w:p>
    <w:p w:rsidR="00311A55" w:rsidRDefault="00311A55">
      <w:pPr>
        <w:pStyle w:val="Heading1"/>
      </w:pPr>
      <w:r>
        <w:t>Math models</w:t>
      </w:r>
    </w:p>
    <w:p w:rsidR="00BD5A7B" w:rsidRDefault="00311A55">
      <w:pPr>
        <w:ind w:firstLine="0"/>
      </w:pPr>
      <w:r>
        <w:t xml:space="preserve">Math models should be </w:t>
      </w:r>
      <w:r w:rsidR="00BD5A7B">
        <w:t>formatted to best suit their purpose in the paper</w:t>
      </w:r>
      <w:r>
        <w:t>.</w:t>
      </w:r>
      <w:r w:rsidR="00BD5A7B">
        <w:t xml:space="preserve"> </w:t>
      </w:r>
      <w:r w:rsidR="00FE3271">
        <w:t>All parameters and variables should be clearly defined in the paper. These definitions and explanations of the non-trival constraints and objective functions should be included or referred to near the model formulation.</w:t>
      </w:r>
      <w:r w:rsidR="00BD5A7B">
        <w:t>The following guidelines will help to ensure the model is complete and well documented.</w:t>
      </w:r>
      <w:r>
        <w:t xml:space="preserve"> </w:t>
      </w:r>
    </w:p>
    <w:p w:rsidR="00BD5A7B" w:rsidRDefault="00311A55" w:rsidP="00BD5A7B">
      <w:r>
        <w:t xml:space="preserve">Name the model (e.g. FruitTraNZ below) for handy reference elsewhere in the paper. Following mathematical tradition, you should italicise parameters, variables, and subscripts. Font style and size should </w:t>
      </w:r>
      <w:r w:rsidR="00BD5A7B">
        <w:t>be consistent with</w:t>
      </w:r>
      <w:r>
        <w:t xml:space="preserve"> the document’s text. </w:t>
      </w:r>
      <w:r w:rsidR="00C837A5">
        <w:t xml:space="preserve">Do not use more than two levels of subscripting or superscripting. </w:t>
      </w:r>
      <w:r>
        <w:t>It is helpful to distinguish parameters from decision variables</w:t>
      </w:r>
      <w:r w:rsidR="00BD5A7B">
        <w:t>, for instance with</w:t>
      </w:r>
      <w:r>
        <w:t xml:space="preserve"> parameters a</w:t>
      </w:r>
      <w:r w:rsidR="00BD5A7B">
        <w:t>s</w:t>
      </w:r>
      <w:r>
        <w:t xml:space="preserve"> upper case and decision variables a</w:t>
      </w:r>
      <w:r w:rsidR="00BD5A7B">
        <w:t>s</w:t>
      </w:r>
      <w:r>
        <w:t xml:space="preserve"> lower case. </w:t>
      </w:r>
      <w:r w:rsidR="002D78BE">
        <w:t>Use the word equation editor for formulae</w:t>
      </w:r>
      <w:r w:rsidR="00C837A5">
        <w:t>.</w:t>
      </w:r>
    </w:p>
    <w:p w:rsidR="00311A55" w:rsidRDefault="00BA7888" w:rsidP="00BD5A7B">
      <w:r>
        <w:br w:type="page"/>
      </w:r>
      <w:r w:rsidR="00C837A5">
        <w:lastRenderedPageBreak/>
        <w:t xml:space="preserve">The following </w:t>
      </w:r>
      <w:r w:rsidR="00311A55">
        <w:t>example</w:t>
      </w:r>
      <w:r w:rsidR="00C837A5">
        <w:t xml:space="preserve"> may be helpful</w:t>
      </w:r>
      <w:r w:rsidR="00311A55">
        <w:t>:</w:t>
      </w:r>
    </w:p>
    <w:p w:rsidR="00311A55" w:rsidRDefault="00311A55" w:rsidP="00C837A5">
      <w:pPr>
        <w:keepNext/>
      </w:pPr>
      <w:r w:rsidRPr="00E41C61">
        <w:rPr>
          <w:b/>
          <w:bCs/>
        </w:rPr>
        <w:t>Indices</w:t>
      </w:r>
    </w:p>
    <w:p w:rsidR="00311A55" w:rsidRDefault="00311A55" w:rsidP="009D0786">
      <w:pPr>
        <w:jc w:val="left"/>
      </w:pPr>
      <w:r>
        <w:tab/>
      </w:r>
      <m:oMath>
        <m:r>
          <w:rPr>
            <w:rFonts w:ascii="Cambria Math" w:hAnsi="Cambria Math"/>
          </w:rPr>
          <m:t>i=</m:t>
        </m:r>
        <m:r>
          <m:rPr>
            <m:sty m:val="p"/>
          </m:rPr>
          <w:rPr>
            <w:rFonts w:ascii="Cambria Math" w:hAnsi="Cambria Math"/>
          </w:rPr>
          <m:t>plant</m:t>
        </m:r>
      </m:oMath>
      <w:r w:rsidR="002D78BE">
        <w:t>;</w:t>
      </w:r>
      <w:r w:rsidRPr="00C837A5">
        <w:rPr>
          <w:lang w:val="sv-SE"/>
        </w:rPr>
        <w:t xml:space="preserve"> </w:t>
      </w:r>
      <m:oMath>
        <m:r>
          <w:rPr>
            <w:rFonts w:ascii="Cambria Math" w:hAnsi="Cambria Math"/>
            <w:lang w:val="sv-SE"/>
          </w:rPr>
          <m:t>P</m:t>
        </m:r>
        <m:r>
          <w:rPr>
            <w:rFonts w:ascii="Cambria Math" w:hAnsi="Cambria Math"/>
            <w:lang w:val="sv-SE"/>
          </w:rPr>
          <m:t xml:space="preserve"> = </m:t>
        </m:r>
        <m:r>
          <m:rPr>
            <m:sty m:val="p"/>
          </m:rPr>
          <w:rPr>
            <w:rFonts w:ascii="Cambria Math" w:hAnsi="Cambria Math"/>
            <w:lang w:val="sv-SE"/>
          </w:rPr>
          <m:t>{Chch, Auckland}</m:t>
        </m:r>
      </m:oMath>
      <w:r w:rsidR="002D78BE">
        <w:rPr>
          <w:lang w:val="sv-SE"/>
        </w:rPr>
        <w:t xml:space="preserve">; </w:t>
      </w:r>
      <m:oMath>
        <m:r>
          <w:rPr>
            <w:rFonts w:ascii="Cambria Math" w:hAnsi="Cambria Math"/>
          </w:rPr>
          <m:t>j</m:t>
        </m:r>
        <m:r>
          <w:rPr>
            <w:rFonts w:ascii="Cambria Math" w:hAnsi="Cambria Math"/>
          </w:rPr>
          <m:t xml:space="preserve"> = </m:t>
        </m:r>
        <m:r>
          <m:rPr>
            <m:sty m:val="p"/>
          </m:rPr>
          <w:rPr>
            <w:rFonts w:ascii="Cambria Math" w:hAnsi="Cambria Math"/>
          </w:rPr>
          <m:t>wholesaler</m:t>
        </m:r>
        <m:r>
          <w:rPr>
            <w:rFonts w:ascii="Cambria Math" w:hAnsi="Cambria Math"/>
          </w:rPr>
          <m:t>: 1,…, 5</m:t>
        </m:r>
      </m:oMath>
      <w:r>
        <w:t>.</w:t>
      </w:r>
    </w:p>
    <w:p w:rsidR="00311A55" w:rsidRDefault="00311A55"/>
    <w:p w:rsidR="00311A55" w:rsidRDefault="00311A55" w:rsidP="00C837A5">
      <w:pPr>
        <w:keepNext/>
      </w:pPr>
      <w:r w:rsidRPr="00E41C61">
        <w:rPr>
          <w:b/>
          <w:bCs/>
        </w:rPr>
        <w:t>Parameters</w:t>
      </w:r>
    </w:p>
    <w:p w:rsidR="00311A55" w:rsidRDefault="00311A55" w:rsidP="009D0786">
      <w:pPr>
        <w:jc w:val="left"/>
      </w:pPr>
      <w:r>
        <w:tab/>
      </w:r>
      <m:oMath>
        <m:sSub>
          <m:sSubPr>
            <m:ctrlPr>
              <w:rPr>
                <w:rFonts w:ascii="Cambria Math" w:hAnsi="Cambria Math"/>
                <w:i/>
                <w:iCs/>
              </w:rPr>
            </m:ctrlPr>
          </m:sSubPr>
          <m:e>
            <m:r>
              <w:rPr>
                <w:rFonts w:ascii="Cambria Math" w:hAnsi="Cambria Math"/>
              </w:rPr>
              <m:t>C</m:t>
            </m:r>
          </m:e>
          <m:sub>
            <m:r>
              <w:rPr>
                <w:rFonts w:ascii="Cambria Math" w:hAnsi="Cambria Math"/>
              </w:rPr>
              <m:t>ij</m:t>
            </m:r>
          </m:sub>
        </m:sSub>
        <m:r>
          <w:rPr>
            <w:rFonts w:ascii="Cambria Math" w:hAnsi="Cambria Math"/>
          </w:rPr>
          <m:t xml:space="preserve"> = </m:t>
        </m:r>
      </m:oMath>
      <w:r>
        <w:t xml:space="preserve">cost to send a box from plant </w:t>
      </w:r>
      <m:oMath>
        <m:r>
          <w:rPr>
            <w:rFonts w:ascii="Cambria Math" w:hAnsi="Cambria Math"/>
          </w:rPr>
          <m:t>i</m:t>
        </m:r>
      </m:oMath>
      <w:r>
        <w:t xml:space="preserve"> to wholesaler </w:t>
      </w:r>
      <m:oMath>
        <m:r>
          <w:rPr>
            <w:rFonts w:ascii="Cambria Math" w:hAnsi="Cambria Math"/>
          </w:rPr>
          <m:t>j</m:t>
        </m:r>
      </m:oMath>
      <w:r>
        <w:t>.</w:t>
      </w:r>
      <w:r>
        <w:br/>
      </w:r>
      <w:r>
        <w:rPr>
          <w:i/>
          <w:iCs/>
        </w:rPr>
        <w:tab/>
      </w:r>
      <m:oMath>
        <m:sSub>
          <m:sSubPr>
            <m:ctrlPr>
              <w:rPr>
                <w:rFonts w:ascii="Cambria Math" w:hAnsi="Cambria Math"/>
                <w:i/>
                <w:iCs/>
              </w:rPr>
            </m:ctrlPr>
          </m:sSubPr>
          <m:e>
            <m:r>
              <w:rPr>
                <w:rFonts w:ascii="Cambria Math" w:hAnsi="Cambria Math"/>
              </w:rPr>
              <m:t>K</m:t>
            </m:r>
          </m:e>
          <m:sub>
            <m:r>
              <w:rPr>
                <w:rFonts w:ascii="Cambria Math" w:hAnsi="Cambria Math"/>
              </w:rPr>
              <m:t>i</m:t>
            </m:r>
          </m:sub>
        </m:sSub>
        <m:r>
          <w:rPr>
            <w:rFonts w:ascii="Cambria Math" w:hAnsi="Cambria Math"/>
          </w:rPr>
          <m:t xml:space="preserve"> = </m:t>
        </m:r>
      </m:oMath>
      <w:r>
        <w:t xml:space="preserve">production capacity of plant </w:t>
      </w:r>
      <m:oMath>
        <m:r>
          <w:rPr>
            <w:rFonts w:ascii="Cambria Math" w:hAnsi="Cambria Math"/>
          </w:rPr>
          <m:t>i</m:t>
        </m:r>
      </m:oMath>
      <w:r w:rsidR="00E41C61">
        <w:t>, in boxes.</w:t>
      </w:r>
      <w:r>
        <w:br/>
      </w:r>
      <w:r>
        <w:rPr>
          <w:i/>
          <w:iCs/>
        </w:rPr>
        <w:tab/>
      </w:r>
      <m:oMath>
        <m:sSub>
          <m:sSubPr>
            <m:ctrlPr>
              <w:rPr>
                <w:rFonts w:ascii="Cambria Math" w:hAnsi="Cambria Math"/>
                <w:i/>
                <w:iCs/>
              </w:rPr>
            </m:ctrlPr>
          </m:sSubPr>
          <m:e>
            <m:r>
              <w:rPr>
                <w:rFonts w:ascii="Cambria Math" w:hAnsi="Cambria Math"/>
              </w:rPr>
              <m:t>D</m:t>
            </m:r>
          </m:e>
          <m:sub>
            <m:r>
              <w:rPr>
                <w:rFonts w:ascii="Cambria Math" w:hAnsi="Cambria Math"/>
              </w:rPr>
              <m:t>j</m:t>
            </m:r>
          </m:sub>
        </m:sSub>
      </m:oMath>
      <w:r>
        <w:t xml:space="preserve"> = </w:t>
      </w:r>
      <w:r w:rsidR="00E41C61">
        <w:t xml:space="preserve">minimum demand for </w:t>
      </w:r>
      <w:r>
        <w:t xml:space="preserve">boxes at wholesaler </w:t>
      </w:r>
      <m:oMath>
        <m:r>
          <w:rPr>
            <w:rFonts w:ascii="Cambria Math" w:hAnsi="Cambria Math"/>
          </w:rPr>
          <m:t>j</m:t>
        </m:r>
      </m:oMath>
      <w:r>
        <w:t>.</w:t>
      </w:r>
    </w:p>
    <w:p w:rsidR="00311A55" w:rsidRDefault="00311A55"/>
    <w:p w:rsidR="00311A55" w:rsidRPr="00E41C61" w:rsidRDefault="00311A55" w:rsidP="00C837A5">
      <w:pPr>
        <w:keepNext/>
        <w:rPr>
          <w:b/>
          <w:bCs/>
        </w:rPr>
      </w:pPr>
      <w:r w:rsidRPr="00E41C61">
        <w:rPr>
          <w:b/>
          <w:bCs/>
        </w:rPr>
        <w:t>Decision variables</w:t>
      </w:r>
    </w:p>
    <w:p w:rsidR="00311A55" w:rsidRDefault="00311A55">
      <w:r>
        <w:tab/>
      </w:r>
      <m:oMath>
        <m:sSub>
          <m:sSubPr>
            <m:ctrlPr>
              <w:rPr>
                <w:rFonts w:ascii="Cambria Math" w:hAnsi="Cambria Math"/>
                <w:i/>
                <w:iCs/>
              </w:rPr>
            </m:ctrlPr>
          </m:sSubPr>
          <m:e>
            <m:r>
              <w:rPr>
                <w:rFonts w:ascii="Cambria Math" w:hAnsi="Cambria Math"/>
              </w:rPr>
              <m:t>x</m:t>
            </m:r>
          </m:e>
          <m:sub>
            <m:r>
              <w:rPr>
                <w:rFonts w:ascii="Cambria Math" w:hAnsi="Cambria Math"/>
              </w:rPr>
              <m:t>ij</m:t>
            </m:r>
          </m:sub>
        </m:sSub>
      </m:oMath>
      <w:r>
        <w:t xml:space="preserve"> = boxes to send from plant </w:t>
      </w:r>
      <m:oMath>
        <m:r>
          <w:rPr>
            <w:rFonts w:ascii="Cambria Math" w:hAnsi="Cambria Math"/>
          </w:rPr>
          <m:t>i</m:t>
        </m:r>
      </m:oMath>
      <w:r>
        <w:t xml:space="preserve"> to wholesaler </w:t>
      </w:r>
      <m:oMath>
        <m:r>
          <w:rPr>
            <w:rFonts w:ascii="Cambria Math" w:hAnsi="Cambria Math"/>
          </w:rPr>
          <m:t>j</m:t>
        </m:r>
      </m:oMath>
      <w:r>
        <w:t>.</w:t>
      </w:r>
    </w:p>
    <w:p w:rsidR="00311A55" w:rsidRDefault="00311A55"/>
    <w:p w:rsidR="00311A55" w:rsidRPr="00600115" w:rsidRDefault="00311A55" w:rsidP="00C837A5">
      <w:pPr>
        <w:keepNext/>
        <w:rPr>
          <w:lang w:val="sv-SE"/>
        </w:rPr>
      </w:pPr>
      <w:r w:rsidRPr="00E41C61">
        <w:rPr>
          <w:b/>
          <w:bCs/>
          <w:lang w:val="sv-SE"/>
        </w:rPr>
        <w:t>Model</w:t>
      </w:r>
      <w:r w:rsidRPr="00600115">
        <w:rPr>
          <w:lang w:val="sv-SE"/>
        </w:rPr>
        <w:t xml:space="preserve"> FruitTraNZ</w:t>
      </w:r>
    </w:p>
    <w:p w:rsidR="00311A55" w:rsidRPr="009D0786" w:rsidRDefault="00C837A5" w:rsidP="009D0786">
      <w:pPr>
        <w:tabs>
          <w:tab w:val="left" w:pos="709"/>
          <w:tab w:val="left" w:pos="1134"/>
        </w:tabs>
        <w:rPr>
          <w:lang w:val="en-GB"/>
        </w:rPr>
      </w:pPr>
      <w:r>
        <w:rPr>
          <w:lang w:val="sv-SE"/>
        </w:rPr>
        <w:tab/>
      </w:r>
      <w:r w:rsidR="009D0786">
        <w:rPr>
          <w:lang w:val="sv-SE"/>
        </w:rPr>
        <w:tab/>
      </w:r>
      <m:oMath>
        <m:r>
          <m:rPr>
            <m:sty m:val="p"/>
          </m:rPr>
          <w:rPr>
            <w:rFonts w:ascii="Cambria Math" w:hAnsi="Cambria Math"/>
            <w:lang w:val="en-GB"/>
          </w:rPr>
          <m:t>Minimise</m:t>
        </m:r>
        <m:r>
          <w:rPr>
            <w:rFonts w:ascii="Cambria Math" w:hAnsi="Cambria Math"/>
            <w:lang w:val="en-GB"/>
          </w:rPr>
          <m:t xml:space="preserve"> </m:t>
        </m:r>
        <m:nary>
          <m:naryPr>
            <m:chr m:val="∑"/>
            <m:supHide m:val="1"/>
            <m:ctrlPr>
              <w:rPr>
                <w:rFonts w:ascii="Cambria Math" w:hAnsi="Cambria Math"/>
                <w:i/>
                <w:lang w:val="en-GB"/>
              </w:rPr>
            </m:ctrlPr>
          </m:naryPr>
          <m:sub>
            <m:r>
              <w:rPr>
                <w:rFonts w:ascii="Cambria Math" w:hAnsi="Cambria Math"/>
                <w:lang w:val="en-GB"/>
              </w:rPr>
              <m:t>i∈P</m:t>
            </m:r>
          </m:sub>
          <m:sup/>
          <m:e>
            <m:nary>
              <m:naryPr>
                <m:chr m:val="∑"/>
                <m:limLoc m:val="subSup"/>
                <m:ctrlPr>
                  <w:rPr>
                    <w:rFonts w:ascii="Cambria Math" w:hAnsi="Cambria Math"/>
                    <w:i/>
                    <w:lang w:val="en-GB"/>
                  </w:rPr>
                </m:ctrlPr>
              </m:naryPr>
              <m:sub>
                <m:r>
                  <w:rPr>
                    <w:rFonts w:ascii="Cambria Math" w:hAnsi="Cambria Math"/>
                    <w:lang w:val="en-GB"/>
                  </w:rPr>
                  <m:t>j=1</m:t>
                </m:r>
              </m:sub>
              <m:sup>
                <m:r>
                  <w:rPr>
                    <w:rFonts w:ascii="Cambria Math" w:hAnsi="Cambria Math"/>
                    <w:lang w:val="en-GB"/>
                  </w:rPr>
                  <m:t>5</m:t>
                </m:r>
              </m:sup>
              <m:e>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ij</m:t>
                    </m:r>
                  </m:sub>
                </m:sSub>
              </m:e>
            </m:nary>
          </m:e>
        </m:nary>
      </m:oMath>
    </w:p>
    <w:p w:rsidR="00311A55" w:rsidRPr="009D0786" w:rsidRDefault="00311A55" w:rsidP="009D0786">
      <w:pPr>
        <w:tabs>
          <w:tab w:val="left" w:pos="709"/>
          <w:tab w:val="left" w:pos="1134"/>
        </w:tabs>
        <w:rPr>
          <w:lang w:val="en-GB"/>
        </w:rPr>
      </w:pPr>
      <w:r w:rsidRPr="009D0786">
        <w:rPr>
          <w:lang w:val="en-GB"/>
        </w:rPr>
        <w:tab/>
      </w:r>
      <w:r w:rsidR="009D0786" w:rsidRPr="009D0786">
        <w:rPr>
          <w:lang w:val="en-GB"/>
        </w:rPr>
        <w:t>(1</w:t>
      </w:r>
      <w:r w:rsidRPr="009D0786">
        <w:rPr>
          <w:lang w:val="en-GB"/>
        </w:rPr>
        <w:t>)</w:t>
      </w:r>
      <w:r w:rsidR="009D0786" w:rsidRPr="009D0786">
        <w:rPr>
          <w:lang w:val="en-GB"/>
        </w:rPr>
        <w:tab/>
      </w:r>
      <m:oMath>
        <m:nary>
          <m:naryPr>
            <m:chr m:val="∑"/>
            <m:limLoc m:val="subSup"/>
            <m:ctrlPr>
              <w:rPr>
                <w:rFonts w:ascii="Cambria Math" w:hAnsi="Cambria Math"/>
                <w:i/>
                <w:lang w:val="en-GB"/>
              </w:rPr>
            </m:ctrlPr>
          </m:naryPr>
          <m:sub>
            <m:r>
              <w:rPr>
                <w:rFonts w:ascii="Cambria Math" w:hAnsi="Cambria Math"/>
                <w:lang w:val="en-GB"/>
              </w:rPr>
              <m:t>j=1</m:t>
            </m:r>
          </m:sub>
          <m:sup>
            <m:r>
              <w:rPr>
                <w:rFonts w:ascii="Cambria Math" w:hAnsi="Cambria Math"/>
                <w:lang w:val="en-GB"/>
              </w:rPr>
              <m:t>5</m:t>
            </m:r>
          </m:sup>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ij</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i</m:t>
                </m:r>
              </m:sub>
            </m:sSub>
          </m:e>
        </m:nary>
      </m:oMath>
      <w:r w:rsidR="009D0786">
        <w:rPr>
          <w:lang w:val="sv-SE"/>
        </w:rPr>
        <w:tab/>
      </w:r>
      <w:r w:rsidRPr="009D0786">
        <w:rPr>
          <w:lang w:val="en-GB"/>
        </w:rPr>
        <w:t xml:space="preserve">for </w:t>
      </w:r>
      <m:oMath>
        <m:r>
          <w:rPr>
            <w:rFonts w:ascii="Cambria Math" w:hAnsi="Cambria Math"/>
            <w:lang w:val="en-GB"/>
          </w:rPr>
          <m:t>i</m:t>
        </m:r>
        <m:r>
          <w:rPr>
            <w:rFonts w:ascii="Cambria Math" w:hAnsi="Cambria Math"/>
            <w:lang w:val="en-GB"/>
          </w:rPr>
          <m:t xml:space="preserve"> = </m:t>
        </m:r>
        <m:r>
          <m:rPr>
            <m:sty m:val="p"/>
          </m:rPr>
          <w:rPr>
            <w:rFonts w:ascii="Cambria Math" w:hAnsi="Cambria Math"/>
            <w:lang w:val="en-GB"/>
          </w:rPr>
          <m:t>Chch, Auckland</m:t>
        </m:r>
      </m:oMath>
      <w:r w:rsidRPr="009D0786">
        <w:rPr>
          <w:lang w:val="en-GB"/>
        </w:rPr>
        <w:t>.</w:t>
      </w:r>
    </w:p>
    <w:p w:rsidR="00311A55" w:rsidRPr="009D0786" w:rsidRDefault="00311A55" w:rsidP="009D0786">
      <w:pPr>
        <w:tabs>
          <w:tab w:val="left" w:pos="709"/>
          <w:tab w:val="left" w:pos="1134"/>
        </w:tabs>
        <w:rPr>
          <w:lang w:val="en-GB"/>
        </w:rPr>
      </w:pPr>
      <w:r w:rsidRPr="009D0786">
        <w:rPr>
          <w:lang w:val="en-GB"/>
        </w:rPr>
        <w:tab/>
      </w:r>
      <w:r w:rsidR="009D0786" w:rsidRPr="009D0786">
        <w:rPr>
          <w:lang w:val="en-GB"/>
        </w:rPr>
        <w:t>(2</w:t>
      </w:r>
      <w:r w:rsidRPr="009D0786">
        <w:rPr>
          <w:lang w:val="en-GB"/>
        </w:rPr>
        <w:t xml:space="preserve">) </w:t>
      </w:r>
      <w:r w:rsidR="009D0786">
        <w:rPr>
          <w:lang w:val="en-GB"/>
        </w:rPr>
        <w:tab/>
      </w:r>
      <m:oMath>
        <m:nary>
          <m:naryPr>
            <m:chr m:val="∑"/>
            <m:supHide m:val="1"/>
            <m:ctrlPr>
              <w:rPr>
                <w:rFonts w:ascii="Cambria Math" w:hAnsi="Cambria Math"/>
                <w:i/>
                <w:lang w:val="en-GB"/>
              </w:rPr>
            </m:ctrlPr>
          </m:naryPr>
          <m:sub>
            <m:r>
              <w:rPr>
                <w:rFonts w:ascii="Cambria Math" w:hAnsi="Cambria Math"/>
                <w:lang w:val="en-GB"/>
              </w:rPr>
              <m:t>i∈P</m:t>
            </m:r>
          </m:sub>
          <m:sup/>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ij</m:t>
                </m:r>
              </m:sub>
            </m:sSub>
          </m:e>
        </m:nary>
        <m:r>
          <w:rPr>
            <w:rFonts w:ascii="Cambria Math" w:hAnsi="Cambria Math"/>
            <w:lang w:val="en-GB"/>
          </w:rPr>
          <m:t>≥</m:t>
        </m:r>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j</m:t>
            </m:r>
          </m:sub>
        </m:sSub>
      </m:oMath>
      <w:r w:rsidR="009D0786" w:rsidRPr="009D0786">
        <w:rPr>
          <w:lang w:val="en-GB"/>
        </w:rPr>
        <w:tab/>
      </w:r>
      <w:r w:rsidRPr="009D0786">
        <w:rPr>
          <w:lang w:val="en-GB"/>
        </w:rPr>
        <w:t xml:space="preserve">for </w:t>
      </w:r>
      <m:oMath>
        <m:r>
          <w:rPr>
            <w:rFonts w:ascii="Cambria Math" w:hAnsi="Cambria Math"/>
            <w:lang w:val="en-GB"/>
          </w:rPr>
          <m:t>j</m:t>
        </m:r>
        <m:r>
          <w:rPr>
            <w:rFonts w:ascii="Cambria Math" w:hAnsi="Cambria Math"/>
            <w:lang w:val="en-GB"/>
          </w:rPr>
          <m:t xml:space="preserve"> = 1, 2, …, 5</m:t>
        </m:r>
      </m:oMath>
      <w:r w:rsidRPr="009D0786">
        <w:rPr>
          <w:lang w:val="en-GB"/>
        </w:rPr>
        <w:t>.</w:t>
      </w:r>
    </w:p>
    <w:p w:rsidR="00311A55" w:rsidRPr="009D0786" w:rsidRDefault="009D0786" w:rsidP="009D0786">
      <w:pPr>
        <w:tabs>
          <w:tab w:val="left" w:pos="709"/>
          <w:tab w:val="left" w:pos="1134"/>
        </w:tabs>
        <w:rPr>
          <w:lang w:val="en-GB"/>
        </w:rPr>
      </w:pPr>
      <w:r>
        <w:rPr>
          <w:lang w:val="en-GB"/>
        </w:rPr>
        <w:tab/>
      </w:r>
      <w:r>
        <w:rPr>
          <w:lang w:val="en-GB"/>
        </w:rPr>
        <w:tab/>
      </w: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ij</m:t>
            </m:r>
          </m:sub>
        </m:sSub>
        <m:r>
          <w:rPr>
            <w:rFonts w:ascii="Cambria Math" w:hAnsi="Cambria Math"/>
            <w:lang w:val="en-GB"/>
          </w:rPr>
          <m:t>≥0</m:t>
        </m:r>
      </m:oMath>
      <w:r w:rsidR="00311A55" w:rsidRPr="009D0786">
        <w:rPr>
          <w:lang w:val="en-GB"/>
        </w:rPr>
        <w:t>.</w:t>
      </w:r>
    </w:p>
    <w:p w:rsidR="00311A55" w:rsidRPr="009D0786" w:rsidRDefault="00311A55">
      <w:pPr>
        <w:rPr>
          <w:lang w:val="en-GB"/>
        </w:rPr>
      </w:pPr>
    </w:p>
    <w:p w:rsidR="00311A55" w:rsidRDefault="00311A55" w:rsidP="00C837A5">
      <w:pPr>
        <w:keepNext/>
      </w:pPr>
      <w:r w:rsidRPr="00E41C61">
        <w:rPr>
          <w:b/>
          <w:bCs/>
        </w:rPr>
        <w:t>Explanation</w:t>
      </w:r>
    </w:p>
    <w:p w:rsidR="009D0786" w:rsidRDefault="009D0786" w:rsidP="009D0786">
      <w:pPr>
        <w:keepNext/>
        <w:ind w:left="709" w:firstLine="0"/>
      </w:pPr>
      <w:r>
        <w:t xml:space="preserve">The objective is to minisime total transportation cost. Constraint (1)  requires plants to produce at full capacity. Constraint (2) </w:t>
      </w:r>
      <w:r w:rsidR="00E41C61">
        <w:t>ensures minimum demand is satisfied for each wholesaler.</w:t>
      </w:r>
    </w:p>
    <w:p w:rsidR="00311A55" w:rsidRDefault="00311A55">
      <w:pPr>
        <w:pStyle w:val="Heading1"/>
      </w:pPr>
      <w:r>
        <w:t>Readability</w:t>
      </w:r>
    </w:p>
    <w:p w:rsidR="00311A55" w:rsidRPr="00B155BC" w:rsidRDefault="00311A55" w:rsidP="00B155BC">
      <w:pPr>
        <w:ind w:firstLine="0"/>
        <w:rPr>
          <w:rFonts w:eastAsia="MS Mincho"/>
        </w:rPr>
      </w:pPr>
      <w:r>
        <w:t xml:space="preserve">Please proofread your paper and use a spelling checker. </w:t>
      </w:r>
      <w:r w:rsidR="00767EF6">
        <w:t xml:space="preserve">Spelling should follow standard </w:t>
      </w:r>
      <w:smartTag w:uri="urn:schemas-microsoft-com:office:smarttags" w:element="country-region">
        <w:r w:rsidR="00767EF6">
          <w:t>New Zealand</w:t>
        </w:r>
      </w:smartTag>
      <w:r w:rsidR="00767EF6">
        <w:t xml:space="preserve">, British or </w:t>
      </w:r>
      <w:smartTag w:uri="urn:schemas-microsoft-com:office:smarttags" w:element="place">
        <w:smartTag w:uri="urn:schemas-microsoft-com:office:smarttags" w:element="country-region">
          <w:r w:rsidR="00767EF6">
            <w:t>U.S.</w:t>
          </w:r>
        </w:smartTag>
      </w:smartTag>
      <w:r w:rsidR="00767EF6">
        <w:t xml:space="preserve"> spelling, but must be consistent throughout</w:t>
      </w:r>
      <w:r>
        <w:t xml:space="preserve">. The grammar checker in Word </w:t>
      </w:r>
      <w:r w:rsidR="00767EF6">
        <w:t xml:space="preserve">can be helpful to </w:t>
      </w:r>
      <w:r>
        <w:t xml:space="preserve">indicate </w:t>
      </w:r>
      <w:r w:rsidR="00767EF6">
        <w:t>more obvious gramatical errors</w:t>
      </w:r>
      <w:r>
        <w:t xml:space="preserve">. </w:t>
      </w:r>
    </w:p>
    <w:p w:rsidR="00311A55" w:rsidRDefault="00311A55">
      <w:pPr>
        <w:pStyle w:val="Heading1"/>
      </w:pPr>
      <w:r>
        <w:t>Submission format</w:t>
      </w:r>
    </w:p>
    <w:p w:rsidR="00311A55" w:rsidRDefault="00311A55" w:rsidP="00B155BC">
      <w:pPr>
        <w:pStyle w:val="NormalMargin"/>
        <w:rPr>
          <w:rFonts w:eastAsia="MS Mincho"/>
        </w:rPr>
      </w:pPr>
      <w:r>
        <w:t xml:space="preserve">Please submit your documents in PDF </w:t>
      </w:r>
      <w:r w:rsidR="00B155BC">
        <w:t xml:space="preserve">format. </w:t>
      </w:r>
      <w:r>
        <w:t xml:space="preserve">Send your file to </w:t>
      </w:r>
      <w:hyperlink r:id="rId10" w:history="1">
        <w:r>
          <w:rPr>
            <w:rStyle w:val="Hyperlink"/>
          </w:rPr>
          <w:t>conference@orsnz.org.nz</w:t>
        </w:r>
      </w:hyperlink>
      <w:r>
        <w:t>.</w:t>
      </w:r>
    </w:p>
    <w:p w:rsidR="00311A55" w:rsidRDefault="00311A55">
      <w:pPr>
        <w:pStyle w:val="Heading1"/>
      </w:pPr>
      <w:r>
        <w:t>How to reference other articles</w:t>
      </w:r>
    </w:p>
    <w:p w:rsidR="00311A55" w:rsidRDefault="00311A55" w:rsidP="00B155BC">
      <w:pPr>
        <w:ind w:firstLine="0"/>
      </w:pPr>
      <w:r>
        <w:t xml:space="preserve">Format references as in the journal </w:t>
      </w:r>
      <w:r>
        <w:rPr>
          <w:i/>
        </w:rPr>
        <w:t>Management Science</w:t>
      </w:r>
      <w:r>
        <w:t>. In the text, give the author’s last name and the year, e.g. Dantzig</w:t>
      </w:r>
      <w:r w:rsidR="00B155BC">
        <w:t xml:space="preserve"> </w:t>
      </w:r>
      <w:r w:rsidR="00B155BC" w:rsidRPr="00B42E11">
        <w:t>et al</w:t>
      </w:r>
      <w:r w:rsidR="00B155BC" w:rsidRPr="00B155BC">
        <w:rPr>
          <w:i/>
        </w:rPr>
        <w:t>.</w:t>
      </w:r>
      <w:r w:rsidRPr="00B42E11">
        <w:rPr>
          <w:i/>
        </w:rPr>
        <w:t xml:space="preserve"> </w:t>
      </w:r>
      <w:r>
        <w:t>(1954)</w:t>
      </w:r>
      <w:r w:rsidR="00B42E11">
        <w:t xml:space="preserve"> for in-text citations and to cite at the end of a statement use (Kruskal, 1956)</w:t>
      </w:r>
      <w:r>
        <w:t>. In the References section at the end of the article, order the references alphabetically, in the style shown below. Avoid the use of journal title abbreviations.</w:t>
      </w:r>
      <w:r w:rsidR="00B155BC">
        <w:t xml:space="preserve"> </w:t>
      </w:r>
      <w:r>
        <w:t xml:space="preserve">Reference a web page in the text by its author and the date that you check it, </w:t>
      </w:r>
      <w:r w:rsidR="00B42E11">
        <w:t>e.g. Mason (2025)</w:t>
      </w:r>
      <w:r>
        <w:t>. In the Reference section, give its author, title, URL, and the date that you checked it.</w:t>
      </w:r>
    </w:p>
    <w:p w:rsidR="00311A55" w:rsidRDefault="00311A55">
      <w:pPr>
        <w:pStyle w:val="Heading1"/>
      </w:pPr>
      <w:r>
        <w:lastRenderedPageBreak/>
        <w:t>Checklist</w:t>
      </w:r>
    </w:p>
    <w:p w:rsidR="00311A55" w:rsidRDefault="00311A55">
      <w:pPr>
        <w:numPr>
          <w:ilvl w:val="0"/>
          <w:numId w:val="5"/>
        </w:numPr>
        <w:tabs>
          <w:tab w:val="clear" w:pos="785"/>
          <w:tab w:val="num" w:pos="284"/>
        </w:tabs>
        <w:ind w:left="0" w:firstLine="0"/>
        <w:rPr>
          <w:rFonts w:eastAsia="MS Mincho"/>
        </w:rPr>
      </w:pPr>
      <w:r>
        <w:rPr>
          <w:rFonts w:eastAsia="MS Mincho"/>
        </w:rPr>
        <w:t>Font, font size.</w:t>
      </w:r>
    </w:p>
    <w:p w:rsidR="00311A55" w:rsidRDefault="00311A55">
      <w:pPr>
        <w:numPr>
          <w:ilvl w:val="0"/>
          <w:numId w:val="5"/>
        </w:numPr>
        <w:tabs>
          <w:tab w:val="clear" w:pos="785"/>
          <w:tab w:val="num" w:pos="284"/>
        </w:tabs>
        <w:ind w:left="0" w:firstLine="0"/>
        <w:rPr>
          <w:rFonts w:eastAsia="MS Mincho"/>
        </w:rPr>
      </w:pPr>
      <w:r>
        <w:rPr>
          <w:rFonts w:eastAsia="MS Mincho"/>
        </w:rPr>
        <w:t>Indents, margins, paper size.</w:t>
      </w:r>
    </w:p>
    <w:p w:rsidR="00311A55" w:rsidRDefault="00311A55">
      <w:pPr>
        <w:numPr>
          <w:ilvl w:val="0"/>
          <w:numId w:val="5"/>
        </w:numPr>
        <w:tabs>
          <w:tab w:val="clear" w:pos="785"/>
          <w:tab w:val="num" w:pos="284"/>
        </w:tabs>
        <w:ind w:left="0" w:firstLine="0"/>
        <w:rPr>
          <w:rFonts w:eastAsia="MS Mincho"/>
        </w:rPr>
      </w:pPr>
      <w:r>
        <w:rPr>
          <w:rFonts w:eastAsia="MS Mincho"/>
        </w:rPr>
        <w:t xml:space="preserve">Graphics are </w:t>
      </w:r>
      <w:r w:rsidR="00B155BC">
        <w:rPr>
          <w:rFonts w:eastAsia="MS Mincho"/>
        </w:rPr>
        <w:t>good quality</w:t>
      </w:r>
      <w:r>
        <w:rPr>
          <w:rFonts w:eastAsia="MS Mincho"/>
        </w:rPr>
        <w:t xml:space="preserve"> with </w:t>
      </w:r>
      <w:r w:rsidR="00B155BC">
        <w:rPr>
          <w:rFonts w:eastAsia="MS Mincho"/>
        </w:rPr>
        <w:t>sufficiently large text</w:t>
      </w:r>
      <w:r>
        <w:rPr>
          <w:rFonts w:eastAsia="MS Mincho"/>
        </w:rPr>
        <w:t>.</w:t>
      </w:r>
    </w:p>
    <w:p w:rsidR="00311A55" w:rsidRDefault="00311A55">
      <w:pPr>
        <w:pStyle w:val="NormalMargin"/>
        <w:numPr>
          <w:ilvl w:val="0"/>
          <w:numId w:val="5"/>
        </w:numPr>
        <w:tabs>
          <w:tab w:val="clear" w:pos="785"/>
          <w:tab w:val="num" w:pos="284"/>
        </w:tabs>
        <w:ind w:left="0" w:firstLine="0"/>
        <w:rPr>
          <w:rFonts w:eastAsia="MS Mincho"/>
        </w:rPr>
      </w:pPr>
      <w:r>
        <w:rPr>
          <w:rFonts w:eastAsia="MS Mincho"/>
        </w:rPr>
        <w:t>References, reference format.</w:t>
      </w:r>
    </w:p>
    <w:p w:rsidR="00311A55" w:rsidRDefault="00311A55">
      <w:pPr>
        <w:numPr>
          <w:ilvl w:val="0"/>
          <w:numId w:val="5"/>
        </w:numPr>
        <w:tabs>
          <w:tab w:val="clear" w:pos="785"/>
          <w:tab w:val="num" w:pos="284"/>
        </w:tabs>
        <w:ind w:left="0" w:firstLine="0"/>
        <w:rPr>
          <w:rFonts w:eastAsia="MS Mincho"/>
        </w:rPr>
      </w:pPr>
      <w:r>
        <w:rPr>
          <w:rFonts w:eastAsia="MS Mincho"/>
        </w:rPr>
        <w:t>Spell-checked and proofread.</w:t>
      </w:r>
    </w:p>
    <w:p w:rsidR="00311A55" w:rsidRDefault="00311A55" w:rsidP="00BA7888">
      <w:pPr>
        <w:pStyle w:val="Heading1"/>
        <w:numPr>
          <w:ilvl w:val="0"/>
          <w:numId w:val="0"/>
        </w:numPr>
      </w:pPr>
      <w:r>
        <w:t>Acknowledgments</w:t>
      </w:r>
    </w:p>
    <w:p w:rsidR="00311A55" w:rsidRDefault="00311A55">
      <w:pPr>
        <w:pStyle w:val="NormalMargin"/>
      </w:pPr>
      <w:r>
        <w:t xml:space="preserve">Acknowledgments can appear in an unnumbered section preceding the references. This article was revised by John F. Raffensperger, based on a version by Andrew Mason,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Auckland</w:t>
          </w:r>
        </w:smartTag>
      </w:smartTag>
      <w:r>
        <w:t>. It has subsequently been revised again by Andrew Mason</w:t>
      </w:r>
      <w:r w:rsidR="00BA7888">
        <w:t>, and by Shane Dye</w:t>
      </w:r>
      <w:r w:rsidR="00B155BC">
        <w:t>, and later Andrea Raith</w:t>
      </w:r>
      <w:r>
        <w:t>.</w:t>
      </w:r>
    </w:p>
    <w:p w:rsidR="00311A55" w:rsidRDefault="00311A55">
      <w:pPr>
        <w:pStyle w:val="Heading1"/>
      </w:pPr>
      <w:r>
        <w:t>References</w:t>
      </w:r>
    </w:p>
    <w:p w:rsidR="00311A55" w:rsidRDefault="00B155BC">
      <w:pPr>
        <w:ind w:left="340" w:hanging="340"/>
      </w:pPr>
      <w:r>
        <w:t xml:space="preserve">G.B. </w:t>
      </w:r>
      <w:r w:rsidR="00311A55">
        <w:t>Dantzig, D.R. Fulkerson,. and S.M. Johnson. “Solution of a large-scale traveling-salesman problem.”</w:t>
      </w:r>
      <w:r w:rsidR="00311A55">
        <w:rPr>
          <w:i/>
        </w:rPr>
        <w:t xml:space="preserve"> Operations Research</w:t>
      </w:r>
      <w:r w:rsidR="00311A55">
        <w:t xml:space="preserve"> </w:t>
      </w:r>
      <w:r w:rsidR="00311A55" w:rsidRPr="00B155BC">
        <w:t>2</w:t>
      </w:r>
      <w:r w:rsidR="00311A55">
        <w:rPr>
          <w:bCs/>
        </w:rPr>
        <w:t>:</w:t>
      </w:r>
      <w:r>
        <w:t>393-410, 1954</w:t>
      </w:r>
    </w:p>
    <w:p w:rsidR="00B155BC" w:rsidRDefault="00B155BC" w:rsidP="00B155BC">
      <w:pPr>
        <w:ind w:left="340" w:hanging="340"/>
      </w:pPr>
      <w:r>
        <w:t>J.B. Kruskal. On the shortest spanning subtree of a graph and the travelling sales-</w:t>
      </w:r>
    </w:p>
    <w:p w:rsidR="00B155BC" w:rsidRDefault="00B155BC" w:rsidP="00B155BC">
      <w:r>
        <w:t xml:space="preserve">man problem. </w:t>
      </w:r>
      <w:r w:rsidRPr="00B155BC">
        <w:rPr>
          <w:i/>
        </w:rPr>
        <w:t>Proceedings of the American Mathematical Society</w:t>
      </w:r>
      <w:r>
        <w:t>, 7:48–50, 1956.</w:t>
      </w:r>
    </w:p>
    <w:p w:rsidR="00311A55" w:rsidRDefault="00B155BC" w:rsidP="00B155BC">
      <w:pPr>
        <w:ind w:left="340" w:hanging="340"/>
      </w:pPr>
      <w:r>
        <w:t>A. Mason. About OpenSolver.</w:t>
      </w:r>
      <w:r>
        <w:t xml:space="preserve"> </w:t>
      </w:r>
      <w:hyperlink r:id="rId11" w:history="1">
        <w:r w:rsidRPr="0023324B">
          <w:rPr>
            <w:rStyle w:val="Hyperlink"/>
          </w:rPr>
          <w:t>https://opensolver.org/</w:t>
        </w:r>
      </w:hyperlink>
      <w:r>
        <w:t xml:space="preserve">, 2025.Accessed: </w:t>
      </w:r>
      <w:r>
        <w:t>7/10/2025.</w:t>
      </w:r>
    </w:p>
    <w:sectPr w:rsidR="00311A55">
      <w:pgSz w:w="11907" w:h="16834"/>
      <w:pgMar w:top="1134"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AFE" w:rsidRDefault="00731AFE">
      <w:r>
        <w:separator/>
      </w:r>
    </w:p>
  </w:endnote>
  <w:endnote w:type="continuationSeparator" w:id="0">
    <w:p w:rsidR="00731AFE" w:rsidRDefault="0073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AFE" w:rsidRDefault="00731AFE">
      <w:pPr>
        <w:ind w:firstLine="0"/>
      </w:pPr>
      <w:r>
        <w:separator/>
      </w:r>
    </w:p>
  </w:footnote>
  <w:footnote w:type="continuationSeparator" w:id="0">
    <w:p w:rsidR="00731AFE" w:rsidRDefault="00731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21936"/>
    <w:multiLevelType w:val="hybridMultilevel"/>
    <w:tmpl w:val="B5D4082C"/>
    <w:lvl w:ilvl="0" w:tplc="B59C9224">
      <w:start w:val="1"/>
      <w:numFmt w:val="bullet"/>
      <w:lvlText w:val=""/>
      <w:lvlJc w:val="left"/>
      <w:pPr>
        <w:tabs>
          <w:tab w:val="num" w:pos="785"/>
        </w:tabs>
        <w:ind w:left="765" w:hanging="340"/>
      </w:pPr>
      <w:rPr>
        <w:rFonts w:ascii="Symbol" w:hAnsi="Symbol" w:hint="default"/>
        <w:sz w:val="20"/>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26E96374"/>
    <w:multiLevelType w:val="multilevel"/>
    <w:tmpl w:val="380694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93A41B7"/>
    <w:multiLevelType w:val="multilevel"/>
    <w:tmpl w:val="3806945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51630C4F"/>
    <w:multiLevelType w:val="hybridMultilevel"/>
    <w:tmpl w:val="7304C7B8"/>
    <w:lvl w:ilvl="0" w:tplc="4FAE60DE">
      <w:start w:val="1"/>
      <w:numFmt w:val="decimal"/>
      <w:lvlText w:val="%1  "/>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7D7214F"/>
    <w:multiLevelType w:val="multilevel"/>
    <w:tmpl w:val="93B4E9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FractionalCharacterWidth/>
  <w:embedSystemFonts/>
  <w:hideSpellingErrors/>
  <w:hideGrammaticalErrors/>
  <w:activeWritingStyle w:appName="MSWord" w:lang="en-NZ" w:vendorID="64" w:dllVersion="131078" w:nlCheck="1" w:checkStyle="1"/>
  <w:activeWritingStyle w:appName="MSWord" w:lang="en-GB" w:vendorID="64" w:dllVersion="131078" w:nlCheck="1" w:checkStyle="1"/>
  <w:activeWritingStyle w:appName="MSWord" w:lang="en-GB" w:vendorID="64" w:dllVersion="131077"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62"/>
    <w:rsid w:val="002D78BE"/>
    <w:rsid w:val="00311A55"/>
    <w:rsid w:val="005531C9"/>
    <w:rsid w:val="00600115"/>
    <w:rsid w:val="00731AFE"/>
    <w:rsid w:val="00767EF6"/>
    <w:rsid w:val="00882A62"/>
    <w:rsid w:val="009D0786"/>
    <w:rsid w:val="00B155BC"/>
    <w:rsid w:val="00B42E11"/>
    <w:rsid w:val="00BA7888"/>
    <w:rsid w:val="00BD5A7B"/>
    <w:rsid w:val="00C837A5"/>
    <w:rsid w:val="00E41C61"/>
    <w:rsid w:val="00EF2379"/>
    <w:rsid w:val="00F4410C"/>
    <w:rsid w:val="00F77EBB"/>
    <w:rsid w:val="00FC7CFB"/>
    <w:rsid w:val="00FE32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enu v:ext="edit" strokecolor="none"/>
    </o:shapedefaults>
    <o:shapelayout v:ext="edit">
      <o:idmap v:ext="edit" data="1"/>
    </o:shapelayout>
  </w:shapeDefaults>
  <w:decimalSymbol w:val="."/>
  <w:listSeparator w:val=","/>
  <w14:docId w14:val="3657040A"/>
  <w15:chartTrackingRefBased/>
  <w15:docId w15:val="{7B7CE54D-66A9-4354-A0E5-32726927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86"/>
    <w:pPr>
      <w:spacing w:line="300" w:lineRule="atLeast"/>
      <w:ind w:firstLine="340"/>
      <w:jc w:val="both"/>
    </w:pPr>
    <w:rPr>
      <w:sz w:val="24"/>
      <w:lang w:eastAsia="en-US"/>
    </w:rPr>
  </w:style>
  <w:style w:type="paragraph" w:styleId="Heading1">
    <w:name w:val="heading 1"/>
    <w:basedOn w:val="Head1"/>
    <w:next w:val="NormalMargin"/>
    <w:qFormat/>
    <w:pPr>
      <w:keepNext/>
      <w:numPr>
        <w:numId w:val="2"/>
      </w:numPr>
      <w:spacing w:before="240" w:after="120"/>
      <w:ind w:left="431" w:hanging="431"/>
      <w:outlineLvl w:val="0"/>
    </w:pPr>
    <w:rPr>
      <w:szCs w:val="28"/>
    </w:rPr>
  </w:style>
  <w:style w:type="paragraph" w:styleId="Heading2">
    <w:name w:val="heading 2"/>
    <w:basedOn w:val="Head2"/>
    <w:next w:val="NormalMargin"/>
    <w:qFormat/>
    <w:pPr>
      <w:keepNext/>
      <w:numPr>
        <w:ilvl w:val="1"/>
        <w:numId w:val="2"/>
      </w:numPr>
      <w:tabs>
        <w:tab w:val="clear" w:pos="426"/>
      </w:tabs>
      <w:spacing w:before="120" w:after="120"/>
      <w:ind w:left="578" w:hanging="578"/>
      <w:outlineLvl w:val="1"/>
    </w:pPr>
  </w:style>
  <w:style w:type="paragraph" w:styleId="Heading3">
    <w:name w:val="heading 3"/>
    <w:basedOn w:val="Normal"/>
    <w:next w:val="NormalMargin"/>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Margin"/>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rPr>
      <w:szCs w:val="24"/>
    </w:rPr>
  </w:style>
  <w:style w:type="paragraph" w:styleId="Heading8">
    <w:name w:val="heading 8"/>
    <w:basedOn w:val="Normal"/>
    <w:next w:val="Normal"/>
    <w:qFormat/>
    <w:pPr>
      <w:numPr>
        <w:ilvl w:val="7"/>
        <w:numId w:val="2"/>
      </w:numPr>
      <w:spacing w:before="240" w:after="60"/>
      <w:outlineLvl w:val="7"/>
    </w:pPr>
    <w:rPr>
      <w:i/>
      <w:iCs/>
      <w:szCs w:val="24"/>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1">
    <w:name w:val="Head1"/>
    <w:basedOn w:val="Normal"/>
    <w:pPr>
      <w:tabs>
        <w:tab w:val="left" w:pos="426"/>
      </w:tabs>
      <w:spacing w:before="400" w:after="160"/>
      <w:ind w:firstLine="0"/>
    </w:pPr>
    <w:rPr>
      <w:b/>
      <w:sz w:val="28"/>
    </w:rPr>
  </w:style>
  <w:style w:type="paragraph" w:customStyle="1" w:styleId="Head2">
    <w:name w:val="Head2"/>
    <w:basedOn w:val="Head1"/>
    <w:rPr>
      <w:sz w:val="24"/>
    </w:rPr>
  </w:style>
  <w:style w:type="paragraph" w:customStyle="1" w:styleId="NormalMargin">
    <w:name w:val="Normal Margin"/>
    <w:basedOn w:val="Normal"/>
    <w:next w:val="Normal"/>
    <w:pPr>
      <w:ind w:firstLine="0"/>
    </w:pPr>
  </w:style>
  <w:style w:type="paragraph" w:styleId="FootnoteText">
    <w:name w:val="footnote text"/>
    <w:basedOn w:val="Normal"/>
    <w:semiHidden/>
    <w:pPr>
      <w:ind w:firstLine="0"/>
    </w:pPr>
    <w:rPr>
      <w:sz w:val="20"/>
    </w:rPr>
  </w:style>
  <w:style w:type="character" w:styleId="FootnoteReference">
    <w:name w:val="footnote reference"/>
    <w:basedOn w:val="DefaultParagraphFont"/>
    <w:semiHidden/>
    <w:rPr>
      <w:vertAlign w:val="superscript"/>
    </w:rPr>
  </w:style>
  <w:style w:type="paragraph" w:styleId="Title">
    <w:name w:val="Title"/>
    <w:basedOn w:val="Normal"/>
    <w:qFormat/>
    <w:pPr>
      <w:spacing w:before="240" w:after="60"/>
      <w:jc w:val="center"/>
    </w:pPr>
    <w:rPr>
      <w:rFonts w:ascii="Arial" w:hAnsi="Arial"/>
      <w:b/>
      <w:kern w:val="28"/>
      <w:sz w:val="32"/>
    </w:rPr>
  </w:style>
  <w:style w:type="paragraph" w:customStyle="1" w:styleId="PaperTitle">
    <w:name w:val="Paper Title"/>
    <w:basedOn w:val="Normal"/>
    <w:pPr>
      <w:spacing w:line="240" w:lineRule="auto"/>
      <w:ind w:firstLine="425"/>
      <w:jc w:val="center"/>
    </w:pPr>
    <w:rPr>
      <w:sz w:val="48"/>
    </w:rPr>
  </w:style>
  <w:style w:type="paragraph" w:customStyle="1" w:styleId="Author">
    <w:name w:val="Author"/>
    <w:basedOn w:val="Normal"/>
    <w:pPr>
      <w:spacing w:line="240" w:lineRule="auto"/>
      <w:ind w:firstLine="425"/>
      <w:jc w:val="center"/>
    </w:pPr>
  </w:style>
  <w:style w:type="paragraph" w:customStyle="1" w:styleId="AbstractTop">
    <w:name w:val="Abstract Top"/>
    <w:basedOn w:val="Normal"/>
    <w:pPr>
      <w:pBdr>
        <w:top w:val="single" w:sz="6" w:space="1" w:color="auto"/>
      </w:pBdr>
      <w:spacing w:line="240" w:lineRule="auto"/>
      <w:jc w:val="center"/>
    </w:pPr>
    <w:rPr>
      <w:b/>
      <w:sz w:val="12"/>
    </w:rPr>
  </w:style>
  <w:style w:type="paragraph" w:customStyle="1" w:styleId="AbstractTitle">
    <w:name w:val="Abstract Title"/>
    <w:basedOn w:val="Normal"/>
    <w:pPr>
      <w:pBdr>
        <w:top w:val="single" w:sz="6" w:space="1" w:color="auto"/>
      </w:pBdr>
      <w:jc w:val="center"/>
    </w:pPr>
    <w:rPr>
      <w:b/>
      <w:sz w:val="28"/>
    </w:rPr>
  </w:style>
  <w:style w:type="paragraph" w:customStyle="1" w:styleId="AbstractBottom">
    <w:name w:val="Abstract Bottom"/>
    <w:basedOn w:val="Normal"/>
    <w:pPr>
      <w:pBdr>
        <w:bottom w:val="single" w:sz="6" w:space="1" w:color="auto"/>
      </w:pBdr>
    </w:pPr>
  </w:style>
  <w:style w:type="paragraph" w:styleId="Header">
    <w:name w:val="header"/>
    <w:basedOn w:val="Normal"/>
    <w:pPr>
      <w:tabs>
        <w:tab w:val="center" w:pos="4153"/>
        <w:tab w:val="right" w:pos="8306"/>
      </w:tabs>
      <w:ind w:firstLine="0"/>
    </w:pPr>
  </w:style>
  <w:style w:type="paragraph" w:styleId="Footer">
    <w:name w:val="footer"/>
    <w:basedOn w:val="Normal"/>
    <w:pPr>
      <w:tabs>
        <w:tab w:val="center" w:pos="4153"/>
        <w:tab w:val="right" w:pos="8306"/>
      </w:tabs>
      <w:ind w:firstLine="0"/>
    </w:pPr>
  </w:style>
  <w:style w:type="paragraph" w:styleId="PlainText">
    <w:name w:val="Plain Text"/>
    <w:basedOn w:val="Normal"/>
    <w:pPr>
      <w:spacing w:line="240" w:lineRule="auto"/>
      <w:ind w:firstLine="0"/>
      <w:jc w:val="left"/>
    </w:pPr>
    <w:rPr>
      <w:rFonts w:ascii="Courier New" w:hAnsi="Courier New" w:cs="Courier New"/>
      <w:sz w:val="20"/>
      <w:lang w:val="en-US"/>
    </w:rPr>
  </w:style>
  <w:style w:type="character" w:styleId="Hyperlink">
    <w:name w:val="Hyperlink"/>
    <w:basedOn w:val="DefaultParagraphFont"/>
    <w:rPr>
      <w:color w:val="0000FF"/>
      <w:u w:val="single"/>
    </w:rPr>
  </w:style>
  <w:style w:type="paragraph" w:styleId="Caption">
    <w:name w:val="caption"/>
    <w:basedOn w:val="Normal"/>
    <w:next w:val="Normal"/>
    <w:qFormat/>
    <w:pPr>
      <w:spacing w:before="120" w:after="120"/>
    </w:pPr>
    <w:rPr>
      <w:b/>
      <w:bCs/>
      <w:sz w:val="20"/>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ind w:firstLine="0"/>
    </w:pPr>
    <w:rPr>
      <w:rFonts w:ascii="Garamond" w:hAnsi="Garamond"/>
      <w:szCs w:val="24"/>
      <w:lang w:eastAsia="en-GB"/>
    </w:rPr>
  </w:style>
  <w:style w:type="paragraph" w:customStyle="1" w:styleId="Abstract">
    <w:name w:val="Abstract"/>
    <w:basedOn w:val="Heading1"/>
    <w:pPr>
      <w:pBdr>
        <w:top w:val="single" w:sz="4" w:space="1" w:color="auto"/>
      </w:pBdr>
      <w:ind w:left="0" w:firstLine="0"/>
      <w:jc w:val="center"/>
    </w:pPr>
    <w:rPr>
      <w:bCs/>
      <w:szCs w:val="20"/>
    </w:rPr>
  </w:style>
  <w:style w:type="character" w:customStyle="1" w:styleId="marginnote">
    <w:name w:val="marginnote"/>
    <w:basedOn w:val="DefaultParagraphFont"/>
    <w:rPr>
      <w:sz w:val="19"/>
      <w:szCs w:val="19"/>
      <w:bdr w:val="none" w:sz="0" w:space="0" w:color="auto" w:frame="1"/>
    </w:rPr>
  </w:style>
  <w:style w:type="paragraph" w:styleId="BodyText">
    <w:name w:val="Body Text"/>
    <w:basedOn w:val="Normal"/>
    <w:pPr>
      <w:ind w:firstLine="0"/>
    </w:pPr>
  </w:style>
  <w:style w:type="paragraph" w:styleId="BodyText2">
    <w:name w:val="Body Text 2"/>
    <w:basedOn w:val="Normal"/>
    <w:pPr>
      <w:ind w:firstLine="0"/>
      <w:jc w:val="center"/>
    </w:pPr>
  </w:style>
  <w:style w:type="paragraph" w:styleId="BodyTextIndent">
    <w:name w:val="Body Text Indent"/>
    <w:basedOn w:val="Normal"/>
  </w:style>
  <w:style w:type="paragraph" w:styleId="BodyTextIndent2">
    <w:name w:val="Body Text Indent 2"/>
    <w:basedOn w:val="Normal"/>
  </w:style>
  <w:style w:type="character" w:styleId="PlaceholderText">
    <w:name w:val="Placeholder Text"/>
    <w:basedOn w:val="DefaultParagraphFont"/>
    <w:uiPriority w:val="99"/>
    <w:semiHidden/>
    <w:rsid w:val="002D78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bloggs@anywhere.ac.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olver.org/" TargetMode="External"/><Relationship Id="rId5" Type="http://schemas.openxmlformats.org/officeDocument/2006/relationships/footnotes" Target="footnotes.xml"/><Relationship Id="rId10" Type="http://schemas.openxmlformats.org/officeDocument/2006/relationships/hyperlink" Target="mailto:conference@orsnz.org.nz"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Guidelines for Papers presented for the</vt:lpstr>
    </vt:vector>
  </TitlesOfParts>
  <Company>University of Canterbury</Company>
  <LinksUpToDate>false</LinksUpToDate>
  <CharactersWithSpaces>7472</CharactersWithSpaces>
  <SharedDoc>false</SharedDoc>
  <HLinks>
    <vt:vector size="12" baseType="variant">
      <vt:variant>
        <vt:i4>5767226</vt:i4>
      </vt:variant>
      <vt:variant>
        <vt:i4>12</vt:i4>
      </vt:variant>
      <vt:variant>
        <vt:i4>0</vt:i4>
      </vt:variant>
      <vt:variant>
        <vt:i4>5</vt:i4>
      </vt:variant>
      <vt:variant>
        <vt:lpwstr>mailto:conference@orsnz.org.nz</vt:lpwstr>
      </vt:variant>
      <vt:variant>
        <vt:lpwstr/>
      </vt:variant>
      <vt:variant>
        <vt:i4>917565</vt:i4>
      </vt:variant>
      <vt:variant>
        <vt:i4>0</vt:i4>
      </vt:variant>
      <vt:variant>
        <vt:i4>0</vt:i4>
      </vt:variant>
      <vt:variant>
        <vt:i4>5</vt:i4>
      </vt:variant>
      <vt:variant>
        <vt:lpwstr>mailto:j.bloggs@anywhere.ac.nz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Papers presented for the</dc:title>
  <dc:subject/>
  <dc:creator>John F. Raffensperger, PhD</dc:creator>
  <cp:keywords/>
  <dc:description/>
  <cp:lastModifiedBy>Andrea Raith</cp:lastModifiedBy>
  <cp:revision>5</cp:revision>
  <cp:lastPrinted>2009-10-02T00:13:00Z</cp:lastPrinted>
  <dcterms:created xsi:type="dcterms:W3CDTF">2025-10-06T21:50:00Z</dcterms:created>
  <dcterms:modified xsi:type="dcterms:W3CDTF">2025-10-06T22:02:00Z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